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D7" w:rsidRPr="00BA56D7" w:rsidRDefault="00BA56D7" w:rsidP="00BA56D7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Changes in the clearing reposts on the </w:t>
      </w:r>
      <w:r w:rsidR="002C6E44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Securities M</w:t>
      </w: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arket (release 2018)</w:t>
      </w:r>
    </w:p>
    <w:p w:rsidR="00BA56D7" w:rsidRPr="00BA56D7" w:rsidRDefault="00BA56D7" w:rsidP="00BA56D7">
      <w:pPr>
        <w:keepNext/>
        <w:widowControl w:val="0"/>
        <w:numPr>
          <w:ilvl w:val="0"/>
          <w:numId w:val="7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240" w:lineRule="auto"/>
        <w:ind w:left="709" w:hanging="709"/>
        <w:jc w:val="both"/>
        <w:textAlignment w:val="baseline"/>
        <w:outlineLvl w:val="0"/>
        <w:rPr>
          <w:rFonts w:ascii="Calibri" w:eastAsia="Times New Roman" w:hAnsi="Calibri" w:cs="Times New Roman"/>
          <w:b/>
          <w:bCs/>
          <w:szCs w:val="20"/>
          <w:lang w:val="en-US"/>
        </w:rPr>
      </w:pPr>
      <w:r w:rsidRPr="00BA56D7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Report on the Trade Accounts (EQM20)</w:t>
      </w:r>
    </w:p>
    <w:p w:rsidR="00BA56D7" w:rsidRPr="00BA56D7" w:rsidRDefault="00BA56D7" w:rsidP="00BA56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From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the block RECORDS the field </w:t>
      </w:r>
      <w:r w:rsidR="002C6E44">
        <w:rPr>
          <w:rFonts w:ascii="Times New Roman" w:eastAsia="Calibri" w:hAnsi="Times New Roman" w:cs="Times New Roman"/>
          <w:sz w:val="24"/>
          <w:lang w:val="en-US"/>
        </w:rPr>
        <w:t>‘</w:t>
      </w:r>
      <w:proofErr w:type="spellStart"/>
      <w:r w:rsidRPr="00BA56D7">
        <w:rPr>
          <w:rFonts w:ascii="Times New Roman" w:eastAsia="Calibri" w:hAnsi="Times New Roman" w:cs="Times New Roman"/>
          <w:sz w:val="24"/>
          <w:lang w:val="en-US"/>
        </w:rPr>
        <w:t>ReturnSettleRUR</w:t>
      </w:r>
      <w:proofErr w:type="spellEnd"/>
      <w:r w:rsidR="002C6E44">
        <w:rPr>
          <w:rFonts w:ascii="Times New Roman" w:eastAsia="Calibri" w:hAnsi="Times New Roman" w:cs="Times New Roman"/>
          <w:sz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is excluded due to the cancellation of automatic return of cash funds from T+ to T0 since 04.12.2017;</w:t>
      </w:r>
    </w:p>
    <w:p w:rsidR="00BA56D7" w:rsidRPr="00BA56D7" w:rsidRDefault="00BA56D7" w:rsidP="00BA56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Into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the </w:t>
      </w:r>
      <w:proofErr w:type="gramStart"/>
      <w:r w:rsidRPr="00BA56D7">
        <w:rPr>
          <w:rFonts w:ascii="Times New Roman" w:eastAsia="Calibri" w:hAnsi="Times New Roman" w:cs="Times New Roman"/>
          <w:sz w:val="24"/>
          <w:lang w:val="en-US"/>
        </w:rPr>
        <w:t>block</w:t>
      </w:r>
      <w:proofErr w:type="gramEnd"/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BANKACC the field </w:t>
      </w:r>
      <w:r w:rsidR="002C6E44">
        <w:rPr>
          <w:rFonts w:ascii="Times New Roman" w:eastAsia="Calibri" w:hAnsi="Times New Roman" w:cs="Times New Roman"/>
          <w:sz w:val="24"/>
          <w:lang w:val="en-US"/>
        </w:rPr>
        <w:t>‘</w:t>
      </w:r>
      <w:proofErr w:type="spellStart"/>
      <w:r w:rsidRPr="00BA56D7">
        <w:rPr>
          <w:rFonts w:ascii="Times New Roman" w:eastAsia="Calibri" w:hAnsi="Times New Roman" w:cs="Times New Roman"/>
          <w:sz w:val="24"/>
          <w:lang w:val="en-US"/>
        </w:rPr>
        <w:t>TaxPaymentAccLink</w:t>
      </w:r>
      <w:proofErr w:type="spellEnd"/>
      <w:r w:rsidR="002C6E44">
        <w:rPr>
          <w:rFonts w:ascii="Times New Roman" w:eastAsia="Calibri" w:hAnsi="Times New Roman" w:cs="Times New Roman"/>
          <w:sz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is added for the future implementation of the project “Settlement Account for the </w:t>
      </w:r>
      <w:r w:rsidR="002C6E44">
        <w:rPr>
          <w:rFonts w:ascii="Times New Roman" w:eastAsia="Calibri" w:hAnsi="Times New Roman" w:cs="Times New Roman"/>
          <w:sz w:val="24"/>
          <w:lang w:val="en-US"/>
        </w:rPr>
        <w:t>deducti</w:t>
      </w:r>
      <w:bookmarkStart w:id="0" w:name="_GoBack"/>
      <w:bookmarkEnd w:id="0"/>
      <w:r w:rsidR="002C6E44">
        <w:rPr>
          <w:rFonts w:ascii="Times New Roman" w:eastAsia="Calibri" w:hAnsi="Times New Roman" w:cs="Times New Roman"/>
          <w:sz w:val="24"/>
          <w:lang w:val="en-US"/>
        </w:rPr>
        <w:t xml:space="preserve">on 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of variable parts for the group of Settlement Accounts”. This project is planned to be implemented </w:t>
      </w:r>
      <w:proofErr w:type="gramStart"/>
      <w:r w:rsidRPr="00BA56D7">
        <w:rPr>
          <w:rFonts w:ascii="Times New Roman" w:eastAsia="Calibri" w:hAnsi="Times New Roman" w:cs="Times New Roman"/>
          <w:sz w:val="24"/>
          <w:lang w:val="en-US"/>
        </w:rPr>
        <w:t>till</w:t>
      </w:r>
      <w:proofErr w:type="gramEnd"/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 the end of 2018.</w:t>
      </w:r>
    </w:p>
    <w:p w:rsidR="00BA56D7" w:rsidRPr="00BA56D7" w:rsidRDefault="00BA56D7" w:rsidP="00BA56D7">
      <w:pPr>
        <w:keepNext/>
        <w:widowControl w:val="0"/>
        <w:numPr>
          <w:ilvl w:val="0"/>
          <w:numId w:val="7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240" w:lineRule="auto"/>
        <w:ind w:left="709" w:hanging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Report on Total Net Obligations / </w:t>
      </w:r>
      <w:r w:rsidR="002C6E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Total </w:t>
      </w:r>
      <w:r w:rsidRPr="00BA5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Net Claims (EQM13)</w:t>
      </w:r>
    </w:p>
    <w:p w:rsidR="00BA56D7" w:rsidRPr="00BA56D7" w:rsidRDefault="002C6E44" w:rsidP="00BA56D7">
      <w:pPr>
        <w:pStyle w:val="a3"/>
        <w:numPr>
          <w:ilvl w:val="0"/>
          <w:numId w:val="8"/>
        </w:numPr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fi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spellStart"/>
      <w:proofErr w:type="gramStart"/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DataType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proofErr w:type="gramEnd"/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obligations to pay the Debt on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ecurities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arket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SEC_M_</w:t>
      </w:r>
      <w:r w:rsidR="00BA56D7" w:rsidRPr="007000CF">
        <w:rPr>
          <w:rFonts w:ascii="Times New Roman" w:hAnsi="Times New Roman" w:cs="Times New Roman"/>
          <w:sz w:val="24"/>
          <w:szCs w:val="24"/>
          <w:lang w:val="en-US"/>
        </w:rPr>
        <w:t>DEBT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added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A56D7" w:rsidRPr="00BA56D7" w:rsidRDefault="00BA56D7" w:rsidP="00F412BA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Changes in </w:t>
      </w:r>
      <w:r w:rsidRPr="007000C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the</w:t>
      </w: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 clearing reposts on the </w:t>
      </w:r>
      <w:r w:rsidR="00F412B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FX M</w:t>
      </w: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arket and </w:t>
      </w:r>
      <w:r w:rsidR="00F412B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Precious M</w:t>
      </w: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 xml:space="preserve">etals </w:t>
      </w:r>
      <w:r w:rsidR="00F412B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M</w:t>
      </w:r>
      <w:r w:rsidRPr="00BA56D7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arket (release 2018)</w:t>
      </w:r>
    </w:p>
    <w:p w:rsidR="00BA56D7" w:rsidRPr="00BA56D7" w:rsidRDefault="00BA56D7" w:rsidP="00BA56D7">
      <w:pPr>
        <w:keepNext/>
        <w:widowControl w:val="0"/>
        <w:numPr>
          <w:ilvl w:val="0"/>
          <w:numId w:val="7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240" w:lineRule="auto"/>
        <w:ind w:left="709" w:hanging="709"/>
        <w:jc w:val="both"/>
        <w:textAlignment w:val="baseline"/>
        <w:outlineLvl w:val="0"/>
        <w:rPr>
          <w:rFonts w:ascii="Calibri" w:eastAsia="Times New Roman" w:hAnsi="Calibri" w:cs="Times New Roman"/>
          <w:b/>
          <w:bCs/>
          <w:szCs w:val="20"/>
          <w:lang w:val="en-US"/>
        </w:rPr>
      </w:pPr>
      <w:r w:rsidRPr="00BA5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Report on Trade Accounts (CCX20)</w:t>
      </w:r>
    </w:p>
    <w:p w:rsidR="00BA56D7" w:rsidRPr="00BA56D7" w:rsidRDefault="00BA56D7" w:rsidP="00BA56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Into the block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SETTLE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fields, similar to the fields in the report on the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Securities Market EQM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20, are added:</w:t>
      </w:r>
    </w:p>
    <w:p w:rsidR="00BA56D7" w:rsidRPr="00BA56D7" w:rsidRDefault="00BA56D7" w:rsidP="00BA56D7">
      <w:pPr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feature of the Settlement Account for fees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deduction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‘</w:t>
      </w:r>
      <w:proofErr w:type="spellStart"/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CommPaymentAcc</w:t>
      </w:r>
      <w:proofErr w:type="spellEnd"/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A56D7" w:rsidRPr="00BA56D7" w:rsidRDefault="00BA56D7" w:rsidP="00BA56D7">
      <w:pPr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feature, indicating that the variable part of the fee is 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deducted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412BA"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only 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="00F412BA"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account 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‘</w:t>
      </w:r>
      <w:proofErr w:type="spellStart"/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TaxPaymentAcc</w:t>
      </w:r>
      <w:proofErr w:type="spellEnd"/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BA56D7" w:rsidRPr="00BA56D7" w:rsidRDefault="00BA56D7" w:rsidP="00BA56D7">
      <w:pPr>
        <w:widowControl w:val="0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field 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‘</w:t>
      </w:r>
      <w:proofErr w:type="spellStart"/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TaxPaymentAccLink</w:t>
      </w:r>
      <w:proofErr w:type="spellEnd"/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the future implementation of the project “Settlement Account for the </w:t>
      </w:r>
      <w:r w:rsidR="00F412BA">
        <w:rPr>
          <w:rFonts w:ascii="Times New Roman" w:eastAsia="Calibri" w:hAnsi="Times New Roman" w:cs="Times New Roman"/>
          <w:sz w:val="24"/>
          <w:lang w:val="en-US"/>
        </w:rPr>
        <w:t xml:space="preserve">deduction </w:t>
      </w:r>
      <w:r w:rsidRPr="00BA56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variable parts for the group of Settlement Accounts”.</w:t>
      </w:r>
      <w:r w:rsidR="00F412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A56D7" w:rsidRPr="00BA56D7" w:rsidRDefault="00BA56D7" w:rsidP="00BA56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Report is formed only in respect of Settlement Accounts and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Trade Accounts of the </w:t>
      </w:r>
      <w:proofErr w:type="gramStart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412BA" w:rsidRPr="00F412B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proofErr w:type="gramEnd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level.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 respect of Settlement Accounts and Trade Accounts of the </w:t>
      </w:r>
      <w:proofErr w:type="gramStart"/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F412B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proofErr w:type="gramEnd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and of the 3</w:t>
      </w:r>
      <w:r w:rsidRPr="00F412BA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level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separate report CCX20A is formed.</w:t>
      </w:r>
    </w:p>
    <w:p w:rsidR="00BA56D7" w:rsidRPr="00BA56D7" w:rsidRDefault="00BA56D7" w:rsidP="00BA56D7">
      <w:pPr>
        <w:keepNext/>
        <w:widowControl w:val="0"/>
        <w:numPr>
          <w:ilvl w:val="0"/>
          <w:numId w:val="7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240" w:lineRule="auto"/>
        <w:ind w:left="709" w:hanging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Report on Total Net Obligations / </w:t>
      </w:r>
      <w:r w:rsidR="00F412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Total </w:t>
      </w:r>
      <w:r w:rsidRPr="00BA56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Net Claims (CCX04, CCX4A, CCX4P)</w:t>
      </w:r>
    </w:p>
    <w:p w:rsidR="00BA56D7" w:rsidRPr="00BA56D7" w:rsidRDefault="00BA56D7" w:rsidP="00BA56D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In the manne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r similar to the report of the S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ecurities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arket EQM13 the report CCX04 (CCX4A, CCX4P) is supplemented by the block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RECORDS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by the field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spellStart"/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DataType</w:t>
      </w:r>
      <w:proofErr w:type="spellEnd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information on the type and amount of obligations, which constitute the Total Net Obligation:</w:t>
      </w:r>
    </w:p>
    <w:p w:rsidR="00BA56D7" w:rsidRPr="00BA56D7" w:rsidRDefault="00BA56D7" w:rsidP="00BA56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Obligations type: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A56D7" w:rsidRPr="00BA56D7" w:rsidRDefault="00F412BA" w:rsidP="00BA56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FX_OBLIG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under trades with the arrived S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ettlement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ate;</w:t>
      </w:r>
    </w:p>
    <w:p w:rsidR="00BA56D7" w:rsidRPr="00BA56D7" w:rsidRDefault="00F412BA" w:rsidP="00BA56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FX_VM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to pay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ariation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argin;</w:t>
      </w:r>
    </w:p>
    <w:p w:rsidR="00BA56D7" w:rsidRPr="00BA56D7" w:rsidRDefault="00F412BA" w:rsidP="00BA56D7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FX_DEBT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BA56D7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to pay the Debt</w:t>
      </w:r>
    </w:p>
    <w:p w:rsidR="00BA56D7" w:rsidRPr="00BA56D7" w:rsidRDefault="00BA56D7" w:rsidP="00BA56D7">
      <w:pPr>
        <w:keepNext/>
        <w:widowControl w:val="0"/>
        <w:numPr>
          <w:ilvl w:val="0"/>
          <w:numId w:val="7"/>
        </w:numPr>
        <w:tabs>
          <w:tab w:val="num" w:pos="709"/>
        </w:tabs>
        <w:overflowPunct w:val="0"/>
        <w:autoSpaceDE w:val="0"/>
        <w:autoSpaceDN w:val="0"/>
        <w:adjustRightInd w:val="0"/>
        <w:spacing w:before="240" w:after="120" w:line="240" w:lineRule="auto"/>
        <w:ind w:left="709" w:hanging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A56D7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Adding the filed </w:t>
      </w:r>
      <w:r w:rsidR="00F412B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‘</w:t>
      </w:r>
      <w:proofErr w:type="spellStart"/>
      <w:r w:rsidRPr="00BA56D7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NccRealAccount</w:t>
      </w:r>
      <w:proofErr w:type="spellEnd"/>
      <w:r w:rsidR="00F412B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’</w:t>
      </w:r>
      <w:r w:rsidRPr="00BA56D7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 xml:space="preserve"> to the reports on the </w:t>
      </w:r>
      <w:r w:rsidR="00F412B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FX M</w:t>
      </w:r>
      <w:r w:rsidRPr="00BA56D7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arket</w:t>
      </w:r>
    </w:p>
    <w:p w:rsidR="00BA56D7" w:rsidRPr="00BA56D7" w:rsidRDefault="00BA56D7" w:rsidP="00BA56D7">
      <w:pPr>
        <w:spacing w:after="120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In the manner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similar to the reports on the S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ecurities </w:t>
      </w:r>
      <w:proofErr w:type="gramStart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arket</w:t>
      </w:r>
      <w:proofErr w:type="gramEnd"/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field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proofErr w:type="spellStart"/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NccRealAccount</w:t>
      </w:r>
      <w:proofErr w:type="spellEnd"/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(Collateral Account number) will be added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2BA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into the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following </w:t>
      </w:r>
      <w:r w:rsidR="00F412BA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clearing reports on the 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>FX M</w:t>
      </w:r>
      <w:r w:rsidR="00F412BA"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arket</w:t>
      </w:r>
      <w:r w:rsidRPr="00BA56D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F412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B2EEF" w:rsidRPr="004B2EEF" w:rsidRDefault="004B2EEF" w:rsidP="004B2EEF">
      <w:pPr>
        <w:pStyle w:val="Point"/>
        <w:numPr>
          <w:ilvl w:val="0"/>
          <w:numId w:val="8"/>
        </w:numPr>
        <w:spacing w:before="0"/>
        <w:ind w:left="1276" w:hanging="357"/>
        <w:rPr>
          <w:szCs w:val="20"/>
          <w:lang w:val="en-US" w:eastAsia="x-none"/>
        </w:rPr>
      </w:pPr>
      <w:r w:rsidRPr="004B2EEF">
        <w:rPr>
          <w:bCs/>
          <w:lang w:val="en-US"/>
        </w:rPr>
        <w:t>Report on Trade Accounts (CCX20)</w:t>
      </w:r>
      <w:r w:rsidRPr="004B2EEF">
        <w:rPr>
          <w:bCs/>
          <w:lang w:val="en-US"/>
        </w:rPr>
        <w:t xml:space="preserve"> </w:t>
      </w:r>
      <w:r>
        <w:rPr>
          <w:bCs/>
          <w:lang w:val="en-US"/>
        </w:rPr>
        <w:t>(into the block ‘RECORDS’)</w:t>
      </w:r>
    </w:p>
    <w:p w:rsidR="00BA56D7" w:rsidRPr="00BA56D7" w:rsidRDefault="00BA56D7" w:rsidP="004B2EEF">
      <w:pPr>
        <w:pStyle w:val="Point"/>
        <w:numPr>
          <w:ilvl w:val="0"/>
          <w:numId w:val="8"/>
        </w:numPr>
        <w:spacing w:before="0"/>
        <w:ind w:left="1276" w:hanging="357"/>
        <w:rPr>
          <w:szCs w:val="20"/>
          <w:lang w:val="en-US" w:eastAsia="x-none"/>
        </w:rPr>
      </w:pPr>
      <w:r w:rsidRPr="00BA56D7">
        <w:rPr>
          <w:szCs w:val="20"/>
          <w:lang w:val="en-US" w:eastAsia="x-none"/>
        </w:rPr>
        <w:t>Report on Total Net Obligations / Total Net Claims (CCX04, CCX4A, CCX4P) (</w:t>
      </w:r>
      <w:r w:rsidR="00F412BA">
        <w:rPr>
          <w:szCs w:val="20"/>
          <w:lang w:val="en-US" w:eastAsia="x-none"/>
        </w:rPr>
        <w:t>in</w:t>
      </w:r>
      <w:r w:rsidRPr="00BA56D7">
        <w:rPr>
          <w:szCs w:val="20"/>
          <w:lang w:val="en-US" w:eastAsia="x-none"/>
        </w:rPr>
        <w:t xml:space="preserve">to the block </w:t>
      </w:r>
      <w:r w:rsidR="00F412BA">
        <w:rPr>
          <w:szCs w:val="20"/>
          <w:lang w:val="en-US" w:eastAsia="x-none"/>
        </w:rPr>
        <w:t>‘</w:t>
      </w:r>
      <w:r w:rsidRPr="00BA56D7">
        <w:rPr>
          <w:szCs w:val="20"/>
          <w:lang w:val="en-US" w:eastAsia="x-none"/>
        </w:rPr>
        <w:t>CURRENCY</w:t>
      </w:r>
      <w:r w:rsidR="00F412BA">
        <w:rPr>
          <w:szCs w:val="20"/>
          <w:lang w:val="en-US" w:eastAsia="x-none"/>
        </w:rPr>
        <w:t>’</w:t>
      </w:r>
      <w:r w:rsidRPr="00BA56D7">
        <w:rPr>
          <w:szCs w:val="20"/>
          <w:lang w:val="en-US" w:eastAsia="x-none"/>
        </w:rPr>
        <w:t>)</w:t>
      </w:r>
    </w:p>
    <w:p w:rsidR="00BA56D7" w:rsidRPr="00BA56D7" w:rsidRDefault="00BA56D7" w:rsidP="004B2EE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Report on the fees (CCX10) (to the block </w:t>
      </w:r>
      <w:r w:rsidR="00F412BA">
        <w:rPr>
          <w:rFonts w:ascii="Times New Roman" w:eastAsia="Calibri" w:hAnsi="Times New Roman" w:cs="Times New Roman"/>
          <w:sz w:val="24"/>
          <w:lang w:val="en-US"/>
        </w:rPr>
        <w:t>‘</w:t>
      </w:r>
      <w:r w:rsidRPr="00BA56D7">
        <w:rPr>
          <w:rFonts w:ascii="Times New Roman" w:eastAsia="Calibri" w:hAnsi="Times New Roman" w:cs="Times New Roman"/>
          <w:sz w:val="24"/>
          <w:lang w:val="en-US"/>
        </w:rPr>
        <w:t>SETTLE1</w:t>
      </w:r>
      <w:r w:rsidR="00F412BA">
        <w:rPr>
          <w:rFonts w:ascii="Times New Roman" w:eastAsia="Calibri" w:hAnsi="Times New Roman" w:cs="Times New Roman"/>
          <w:sz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lang w:val="en-US"/>
        </w:rPr>
        <w:t>)</w:t>
      </w:r>
    </w:p>
    <w:p w:rsidR="00BA56D7" w:rsidRDefault="00BA56D7" w:rsidP="004B2EE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BA56D7">
        <w:rPr>
          <w:rFonts w:ascii="Times New Roman" w:eastAsia="Calibri" w:hAnsi="Times New Roman" w:cs="Times New Roman"/>
          <w:sz w:val="24"/>
          <w:lang w:val="en-US"/>
        </w:rPr>
        <w:t>Report on obligations under Derivatives (CCX17) (</w:t>
      </w:r>
      <w:r w:rsidR="00F412BA">
        <w:rPr>
          <w:rFonts w:ascii="Times New Roman" w:eastAsia="Calibri" w:hAnsi="Times New Roman" w:cs="Times New Roman"/>
          <w:sz w:val="24"/>
          <w:lang w:val="en-US"/>
        </w:rPr>
        <w:t>in</w:t>
      </w:r>
      <w:r w:rsidRPr="00BA56D7">
        <w:rPr>
          <w:rFonts w:ascii="Times New Roman" w:eastAsia="Calibri" w:hAnsi="Times New Roman" w:cs="Times New Roman"/>
          <w:sz w:val="24"/>
          <w:lang w:val="en-US"/>
        </w:rPr>
        <w:t xml:space="preserve">to the block </w:t>
      </w:r>
      <w:r w:rsidR="00F412BA">
        <w:rPr>
          <w:rFonts w:ascii="Times New Roman" w:eastAsia="Calibri" w:hAnsi="Times New Roman" w:cs="Times New Roman"/>
          <w:sz w:val="24"/>
          <w:lang w:val="en-US"/>
        </w:rPr>
        <w:t>‘</w:t>
      </w:r>
      <w:r w:rsidRPr="00BA56D7">
        <w:rPr>
          <w:rFonts w:ascii="Times New Roman" w:eastAsia="Calibri" w:hAnsi="Times New Roman" w:cs="Times New Roman"/>
          <w:sz w:val="24"/>
          <w:lang w:val="en-US"/>
        </w:rPr>
        <w:t>SETTLE</w:t>
      </w:r>
      <w:r w:rsidR="00F412BA">
        <w:rPr>
          <w:rFonts w:ascii="Times New Roman" w:eastAsia="Calibri" w:hAnsi="Times New Roman" w:cs="Times New Roman"/>
          <w:sz w:val="24"/>
          <w:lang w:val="en-US"/>
        </w:rPr>
        <w:t>’</w:t>
      </w:r>
      <w:r w:rsidRPr="00BA56D7">
        <w:rPr>
          <w:rFonts w:ascii="Times New Roman" w:eastAsia="Calibri" w:hAnsi="Times New Roman" w:cs="Times New Roman"/>
          <w:sz w:val="24"/>
          <w:lang w:val="en-US"/>
        </w:rPr>
        <w:t>)</w:t>
      </w:r>
    </w:p>
    <w:p w:rsidR="00175557" w:rsidRPr="00BA56D7" w:rsidRDefault="00BA56D7" w:rsidP="004B2EE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BA56D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Report on the Collateral evaluation (CCX84) (</w:t>
      </w:r>
      <w:r w:rsidR="00F412B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</w:t>
      </w:r>
      <w:r w:rsidRPr="00BA56D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to the block </w:t>
      </w:r>
      <w:r w:rsidR="00F412B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‘</w:t>
      </w:r>
      <w:r w:rsidRPr="00BA56D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RECORDS</w:t>
      </w:r>
      <w:r w:rsidR="00F412B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’</w:t>
      </w:r>
      <w:r w:rsidRPr="00BA56D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)</w:t>
      </w:r>
    </w:p>
    <w:sectPr w:rsidR="00175557" w:rsidRPr="00BA56D7" w:rsidSect="00F412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64E"/>
    <w:multiLevelType w:val="hybridMultilevel"/>
    <w:tmpl w:val="DA266608"/>
    <w:lvl w:ilvl="0" w:tplc="9F5AC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1C6D18"/>
    <w:multiLevelType w:val="hybridMultilevel"/>
    <w:tmpl w:val="F6060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4A5129"/>
    <w:multiLevelType w:val="multilevel"/>
    <w:tmpl w:val="E7264644"/>
    <w:lvl w:ilvl="0">
      <w:start w:val="1"/>
      <w:numFmt w:val="upperRoman"/>
      <w:lvlText w:val="РАЗДЕЛ %1."/>
      <w:lvlJc w:val="left"/>
      <w:pPr>
        <w:tabs>
          <w:tab w:val="num" w:pos="0"/>
        </w:tabs>
        <w:ind w:left="-1080" w:hanging="360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isLgl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09"/>
        </w:tabs>
        <w:ind w:left="709" w:hanging="709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3" w15:restartNumberingAfterBreak="0">
    <w:nsid w:val="3E0740A5"/>
    <w:multiLevelType w:val="hybridMultilevel"/>
    <w:tmpl w:val="301E71F0"/>
    <w:lvl w:ilvl="0" w:tplc="947841D0">
      <w:start w:val="1"/>
      <w:numFmt w:val="bullet"/>
      <w:lvlText w:val=""/>
      <w:lvlJc w:val="left"/>
      <w:pPr>
        <w:ind w:left="2331" w:hanging="360"/>
      </w:pPr>
      <w:rPr>
        <w:rFonts w:ascii="Symbol" w:eastAsia="Calibri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4" w15:restartNumberingAfterBreak="0">
    <w:nsid w:val="41BD3CDD"/>
    <w:multiLevelType w:val="hybridMultilevel"/>
    <w:tmpl w:val="6B6EC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676CD"/>
    <w:multiLevelType w:val="hybridMultilevel"/>
    <w:tmpl w:val="B6FEE32E"/>
    <w:lvl w:ilvl="0" w:tplc="F7E00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3A40"/>
    <w:multiLevelType w:val="hybridMultilevel"/>
    <w:tmpl w:val="74EC1CF8"/>
    <w:lvl w:ilvl="0" w:tplc="8ED289B6">
      <w:start w:val="3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FE02569"/>
    <w:multiLevelType w:val="hybridMultilevel"/>
    <w:tmpl w:val="BD7E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742D3"/>
    <w:multiLevelType w:val="hybridMultilevel"/>
    <w:tmpl w:val="D49A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7"/>
    <w:rsid w:val="000D3DE2"/>
    <w:rsid w:val="00175557"/>
    <w:rsid w:val="00185DAE"/>
    <w:rsid w:val="002A32CF"/>
    <w:rsid w:val="002C6E44"/>
    <w:rsid w:val="002D3BC7"/>
    <w:rsid w:val="003B3AF7"/>
    <w:rsid w:val="004667DC"/>
    <w:rsid w:val="004B2EEF"/>
    <w:rsid w:val="004B3E44"/>
    <w:rsid w:val="007000CF"/>
    <w:rsid w:val="00703EF7"/>
    <w:rsid w:val="00782085"/>
    <w:rsid w:val="007B6AA9"/>
    <w:rsid w:val="00824DC6"/>
    <w:rsid w:val="008602C0"/>
    <w:rsid w:val="008653DA"/>
    <w:rsid w:val="00BA56D7"/>
    <w:rsid w:val="00F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06EF12-2A51-4091-A913-F81DF813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F7"/>
    <w:pPr>
      <w:ind w:left="720"/>
      <w:contextualSpacing/>
    </w:pPr>
  </w:style>
  <w:style w:type="paragraph" w:customStyle="1" w:styleId="Title3">
    <w:name w:val="Title 3"/>
    <w:qFormat/>
    <w:rsid w:val="00703EF7"/>
    <w:pPr>
      <w:keepNext/>
      <w:spacing w:before="36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link w:val="Point1"/>
    <w:qFormat/>
    <w:rsid w:val="00185DAE"/>
    <w:pPr>
      <w:tabs>
        <w:tab w:val="num" w:pos="709"/>
      </w:tabs>
      <w:spacing w:before="240" w:after="0" w:line="240" w:lineRule="auto"/>
      <w:ind w:left="709" w:hanging="709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">
    <w:name w:val="Point 2"/>
    <w:basedOn w:val="a"/>
    <w:qFormat/>
    <w:rsid w:val="00185DAE"/>
    <w:pPr>
      <w:tabs>
        <w:tab w:val="num" w:pos="709"/>
        <w:tab w:val="left" w:pos="851"/>
      </w:tabs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 1"/>
    <w:qFormat/>
    <w:rsid w:val="00185DAE"/>
    <w:pPr>
      <w:keepNext/>
      <w:keepLines/>
      <w:pageBreakBefore/>
      <w:tabs>
        <w:tab w:val="num" w:pos="0"/>
      </w:tabs>
      <w:spacing w:after="0" w:line="240" w:lineRule="auto"/>
      <w:ind w:left="-1080" w:hanging="360"/>
    </w:pPr>
    <w:rPr>
      <w:rFonts w:ascii="Arial" w:eastAsia="Times New Roman" w:hAnsi="Arial" w:cs="Arial"/>
      <w:b/>
      <w:sz w:val="20"/>
      <w:szCs w:val="20"/>
    </w:rPr>
  </w:style>
  <w:style w:type="character" w:customStyle="1" w:styleId="Point1">
    <w:name w:val="Point Знак1"/>
    <w:link w:val="Point"/>
    <w:rsid w:val="00BA56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Чаптыкова Ирина Витальевна</cp:lastModifiedBy>
  <cp:revision>6</cp:revision>
  <dcterms:created xsi:type="dcterms:W3CDTF">2018-04-03T14:00:00Z</dcterms:created>
  <dcterms:modified xsi:type="dcterms:W3CDTF">2018-05-16T13:37:00Z</dcterms:modified>
</cp:coreProperties>
</file>